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 w:val="0"/>
          <w:bCs/>
          <w:sz w:val="36"/>
          <w:szCs w:val="36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eastAsia="zh-CN"/>
        </w:rPr>
        <w:t>建筑消防设施系统维保采购清单</w:t>
      </w:r>
      <w:bookmarkEnd w:id="0"/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应急疏散设施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火灾自动报警系统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消火栓（室内外）系统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自动喷水、消防炮灭火系统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机械加压送风系统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机械排烟系统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防火分隔设施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消防电梯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应急广播系统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高位水箱、稳压系统、室外水泵接合器等系统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气体灭火系统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CAD3D"/>
    <w:multiLevelType w:val="singleLevel"/>
    <w:tmpl w:val="7B5CAD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E43BB"/>
    <w:rsid w:val="71AE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2019-05-31T07:39:00Z</dcterms:created>
  <dc:creator>rss</dc:creator>
  <cp:lastModifiedBy>rss</cp:lastModifiedBy>
  <dcterms:modified xsi:type="dcterms:W3CDTF">2019-05-31T07:40:17Z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